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26" w:rsidRDefault="00CD4528">
      <w:r w:rsidRPr="001E56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9F7B28" wp14:editId="1C448C78">
            <wp:extent cx="3333750" cy="4010025"/>
            <wp:effectExtent l="0" t="0" r="0" b="9525"/>
            <wp:docPr id="2" name="Picture 2" descr="Map of the Upper East Texas Counties and county s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 of the Upper East Texas Counties and county sea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4528" w:rsidRDefault="00CD4528">
      <w:r w:rsidRPr="00CD4528">
        <w:t>Figure: Texas in Focus: Upper East Texas. Texas Controller of Public Accounts Report (Combs, 2008).</w:t>
      </w:r>
    </w:p>
    <w:sectPr w:rsidR="00CD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28"/>
    <w:rsid w:val="00BD5526"/>
    <w:rsid w:val="00C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D1B44-170F-4EDD-B210-B5A988F8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Wycliffe Njororai Simiyu</dc:creator>
  <cp:keywords/>
  <dc:description/>
  <cp:lastModifiedBy>Wycliffe Njororai Simiyu</cp:lastModifiedBy>
  <cp:revision>1</cp:revision>
  <dcterms:created xsi:type="dcterms:W3CDTF">2015-11-17T15:00:00Z</dcterms:created>
  <dcterms:modified xsi:type="dcterms:W3CDTF">2015-11-17T15:02:00Z</dcterms:modified>
</cp:coreProperties>
</file>